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30.pdf" ContentType="application/pdf"/>
  <Override PartName="/word/media/rId29.pdf" ContentType="application/pdf"/>
  <Override PartName="/word/media/rId31.pdf" ContentType="application/pdf"/>
  <Override PartName="/word/media/rId32.pdf" ContentType="application/pdf"/>
  <Override PartName="/word/media/rId33.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November</w:t>
      </w:r>
      <w:r>
        <w:t xml:space="preserve"> </w:t>
      </w:r>
      <w:r>
        <w:t xml:space="preserve">16,</w:t>
      </w:r>
      <w:r>
        <w:t xml:space="preserve"> </w:t>
      </w:r>
      <w:r>
        <w:t xml:space="preserve">2018</w:t>
      </w:r>
    </w:p>
    <w:p>
      <w:pPr>
        <w:pStyle w:val="Compact"/>
        <w:pStyle w:val="Abstract"/>
      </w:pPr>
      <w:r>
        <w:t xml:space="preserve">Root</w:t>
      </w:r>
      <w:r>
        <w:t xml:space="preserve"> </w:t>
      </w:r>
      <w:r>
        <w:t xml:space="preserve">and</w:t>
      </w:r>
      <w:r>
        <w:t xml:space="preserve"> </w:t>
      </w:r>
      <w:r>
        <w:t xml:space="preserve">soil</w:t>
      </w:r>
      <w:r>
        <w:t xml:space="preserve"> </w:t>
      </w:r>
      <w:r>
        <w:t xml:space="preserve">microbial</w:t>
      </w:r>
      <w:r>
        <w:t xml:space="preserve"> </w:t>
      </w:r>
      <w:r>
        <w:t xml:space="preserve">and</w:t>
      </w:r>
      <w:r>
        <w:t xml:space="preserve"> </w:t>
      </w:r>
      <w:r>
        <w:t xml:space="preserve">fungal</w:t>
      </w:r>
      <w:r>
        <w:t xml:space="preserve"> </w:t>
      </w:r>
      <w:r>
        <w:t xml:space="preserve">activity</w:t>
      </w:r>
      <w:r>
        <w:t xml:space="preserve"> </w:t>
      </w:r>
      <w:r>
        <w:t xml:space="preserve">were</w:t>
      </w:r>
      <w:r>
        <w:t xml:space="preserve"> </w:t>
      </w:r>
      <w:r>
        <w:t xml:space="preserve">examined</w:t>
      </w:r>
      <w:r>
        <w:t xml:space="preserve"> </w:t>
      </w:r>
      <w:r>
        <w:t xml:space="preserve">in</w:t>
      </w:r>
      <w:r>
        <w:t xml:space="preserve"> </w:t>
      </w:r>
      <w:r>
        <w:t xml:space="preserve">two</w:t>
      </w:r>
      <w:r>
        <w:t xml:space="preserve"> </w:t>
      </w:r>
      <w:r>
        <w:t xml:space="preserve">species</w:t>
      </w:r>
      <w:r>
        <w:t xml:space="preserve"> </w:t>
      </w:r>
      <w:r>
        <w:t xml:space="preserve">(pepper</w:t>
      </w:r>
      <w:r>
        <w:t xml:space="preserve"> </w:t>
      </w:r>
      <w:r>
        <w:t xml:space="preserve">and</w:t>
      </w:r>
      <w:r>
        <w:t xml:space="preserve"> </w:t>
      </w:r>
      <w:r>
        <w:t xml:space="preserve">tomato)</w:t>
      </w:r>
      <w:r>
        <w:t xml:space="preserve"> </w:t>
      </w:r>
      <w:r>
        <w:t xml:space="preserve">following</w:t>
      </w:r>
      <w:r>
        <w:t xml:space="preserve"> </w:t>
      </w:r>
      <w:r>
        <w:t xml:space="preserve">treatment</w:t>
      </w:r>
      <w:r>
        <w:t xml:space="preserve"> </w:t>
      </w:r>
      <w:r>
        <w:t xml:space="preserve">with</w:t>
      </w:r>
      <w:r>
        <w:t xml:space="preserve"> </w:t>
      </w:r>
      <w:r>
        <w:t xml:space="preserve">Ascophyllum</w:t>
      </w:r>
      <w:r>
        <w:t xml:space="preserve"> </w:t>
      </w:r>
      <w:r>
        <w:t xml:space="preserve">nodosum</w:t>
      </w:r>
      <w:r>
        <w:t xml:space="preserve"> </w:t>
      </w:r>
      <w:r>
        <w:t xml:space="preserve">marine-</w:t>
      </w:r>
      <w:r>
        <w:t xml:space="preserve"> </w:t>
      </w:r>
      <w:r>
        <w:t xml:space="preserve">plant</w:t>
      </w:r>
      <w:r>
        <w:t xml:space="preserve"> </w:t>
      </w:r>
      <w:r>
        <w:t xml:space="preserve">extract.</w:t>
      </w:r>
      <w:r>
        <w:t xml:space="preserve"> </w:t>
      </w:r>
      <w:r>
        <w:t xml:space="preserve">In</w:t>
      </w:r>
      <w:r>
        <w:t xml:space="preserve"> </w:t>
      </w:r>
      <w:r>
        <w:t xml:space="preserve">addition,</w:t>
      </w:r>
      <w:r>
        <w:t xml:space="preserve"> </w:t>
      </w:r>
      <w:r>
        <w:t xml:space="preserve">productivity</w:t>
      </w:r>
      <w:r>
        <w:t xml:space="preserve"> </w:t>
      </w:r>
      <w:r>
        <w:t xml:space="preserve">was</w:t>
      </w:r>
      <w:r>
        <w:t xml:space="preserve"> </w:t>
      </w:r>
      <w:r>
        <w:t xml:space="preserve">measured.</w:t>
      </w:r>
    </w:p>
    <w:p>
      <w:pPr>
        <w:pStyle w:val="Heading1"/>
      </w:pPr>
      <w:bookmarkStart w:id="21" w:name="introduction"/>
      <w:bookmarkEnd w:id="21"/>
      <w:r>
        <w:t xml:space="preserve">INTRODUCTION</w:t>
      </w:r>
    </w:p>
    <w:p>
      <w:pPr>
        <w:pStyle w:val="FirstParagraph"/>
      </w:pPr>
      <w:r>
        <w:t xml:space="preserve">Seaweeds (also known as marine algae) have been used as a source of organic matter and nutrients for centuries, especially in coastal areas</w:t>
      </w:r>
      <w:r>
        <w:t xml:space="preserve"> </w:t>
      </w:r>
      <w:r>
        <w:t xml:space="preserve">(Khan et al., 2009; Craigie, 2011)</w:t>
      </w:r>
      <w:r>
        <w:t xml:space="preserve">. Originally, farmers would simply collect and dry algae before directly applying them to the field to decompose naturally prior to seeding in the spring. Liquid seaweed extracts, developped in the 1950s in order to concentrate plant growth-stimulating compounds, facilate their usage in modern agricultural crop production systems</w:t>
      </w:r>
      <w:r>
        <w:t xml:space="preserve"> </w:t>
      </w:r>
      <w:r>
        <w:t xml:space="preserve">Milton (1952)</w:t>
      </w:r>
      <w:r>
        <w:t xml:space="preserve">. Today, most commercially available seaweed extracts are made using a high temperature and pressure alcaline extraction technique from brown algae such as</w:t>
      </w:r>
      <w:r>
        <w:t xml:space="preserve"> </w:t>
      </w:r>
      <w:r>
        <w:rPr>
          <w:i/>
        </w:rPr>
        <w:t xml:space="preserve">Ascophyllum nodosum</w:t>
      </w:r>
      <w:r>
        <w:t xml:space="preserve">,</w:t>
      </w:r>
      <w:r>
        <w:t xml:space="preserve"> </w:t>
      </w:r>
      <w:r>
        <w:rPr>
          <w:i/>
        </w:rPr>
        <w:t xml:space="preserve">Ecklonia maxima</w:t>
      </w:r>
      <w:r>
        <w:t xml:space="preserve"> </w:t>
      </w:r>
      <w:r>
        <w:t xml:space="preserve">or</w:t>
      </w:r>
      <w:r>
        <w:t xml:space="preserve"> </w:t>
      </w:r>
      <w:r>
        <w:rPr>
          <w:i/>
        </w:rPr>
        <w:t xml:space="preserve">Laminaria spp</w:t>
      </w:r>
      <w:r>
        <w:t xml:space="preserve">.</w:t>
      </w:r>
      <w:r>
        <w:br w:type="textWrapping"/>
      </w:r>
      <w:r>
        <w:t xml:space="preserve"> </w:t>
      </w:r>
      <w:r>
        <w:br w:type="textWrapping"/>
      </w:r>
      <w:r>
        <w:t xml:space="preserve">One of the main advantages of seaweed extracts is that they are biodegradable, non-toxic and come from a renewable resources, unlike modern chemical fertilizers</w:t>
      </w:r>
      <w:r>
        <w:t xml:space="preserve"> </w:t>
      </w:r>
      <w:r>
        <w:t xml:space="preserve">Dhargalkar &amp; Pereira (2005)</w:t>
      </w:r>
      <w:r>
        <w:t xml:space="preserve">. As such, they are commonly used as a natural fertilizer and source of phytohormones in organic and sustainable agricultural systems</w:t>
      </w:r>
      <w:r>
        <w:t xml:space="preserve"> </w:t>
      </w:r>
      <w:r>
        <w:t xml:space="preserve">Craigie (2011)</w:t>
      </w:r>
      <w:r>
        <w:t xml:space="preserve">. However, the specific molecular mechanisms underlying their mode-of-action and their effect on plant growth and productivity are complex and not well understood. In fact, scientific research into their mode-of-action on plant growth and their effect on root associated microbial and fungal communities is still in its infancy</w:t>
      </w:r>
      <w:r>
        <w:t xml:space="preserve"> </w:t>
      </w:r>
      <w:r>
        <w:t xml:space="preserve">(Khan et al., 2009; Alam et al., 2013a)</w:t>
      </w:r>
      <w:r>
        <w:t xml:space="preserve">. In turn, this likely precludes a greater acceptance of liquid seaweed extracts as a viable and renewable alternative to limit the use of modern fertilizers and pesticides in agriculture.</w:t>
      </w:r>
      <w:r>
        <w:br w:type="textWrapping"/>
      </w:r>
      <w:r>
        <w:t xml:space="preserve"> </w:t>
      </w:r>
      <w:r>
        <w:br w:type="textWrapping"/>
      </w:r>
      <w:r>
        <w:t xml:space="preserve">Studies on liquid seaweed extracts have been conducted to bettter understand how seaweed extracts might ultimately boost plant productivity</w:t>
      </w:r>
      <w:r>
        <w:t xml:space="preserve"> </w:t>
      </w:r>
      <w:r>
        <w:t xml:space="preserve">(e.g.: Khan et al., 2009; Alam et al., 2013a,b; Wally et al., 2013; Arioli, Mattner &amp; Winberg, 2015)</w:t>
      </w:r>
      <w:r>
        <w:t xml:space="preserve"> </w:t>
      </w:r>
      <w:r>
        <w:t xml:space="preserve">and a large number of phytohormones which can influence physiological processes even at very low concentrations, have been identified. Auxins, cytokinins, abscissic acid or gibberellins are all phytohormones present in seaweed extracts and which are hypothesized to trigger disease response pathways and increase stress tolerance in plants</w:t>
      </w:r>
      <w:r>
        <w:t xml:space="preserve"> </w:t>
      </w:r>
      <w:r>
        <w:t xml:space="preserve">(Stirk &amp; Van Staden, 2014; Arioli, Mattner &amp; Winberg, 2015)</w:t>
      </w:r>
      <w:r>
        <w:t xml:space="preserve">. Yet,</w:t>
      </w:r>
      <w:r>
        <w:t xml:space="preserve"> </w:t>
      </w:r>
      <w:r>
        <w:t xml:space="preserve">Wally et al. (2013)</w:t>
      </w:r>
      <w:r>
        <w:t xml:space="preserve"> </w:t>
      </w:r>
      <w:r>
        <w:t xml:space="preserve">concluded that phytohormone levels present within the extracts themselves were insufficient to cause significant effects in plants when applied at recommended rates. Instead, bioactive components within seaweed extracts themselves such as vitamins, oligosaccharides, and micronutrients may directly modulate the plant endogeneous biosynthesis pathways of phytohormones. Nevertheless, the basis for these benefits is complex and still relatively poorly understood</w:t>
      </w:r>
      <w:r>
        <w:t xml:space="preserve"> </w:t>
      </w:r>
      <w:r>
        <w:t xml:space="preserve">(Stirk &amp; Van Staden, 2014; Arioli, Mattner &amp; Winberg, 2015)</w:t>
      </w:r>
      <w:r>
        <w:t xml:space="preserve">.</w:t>
      </w:r>
      <w:r>
        <w:br w:type="textWrapping"/>
      </w:r>
      <w:r>
        <w:t xml:space="preserve"> </w:t>
      </w:r>
      <w:r>
        <w:br w:type="textWrapping"/>
      </w:r>
      <w:r>
        <w:t xml:space="preserve">Concurrently, it is hypothesized that the application of seaweed extract may also alter microbial and fungal communities. This is turn, could explain the improved plant performance often observed when seaweed extracts are applied to agricultural soil</w:t>
      </w:r>
      <w:r>
        <w:t xml:space="preserve"> </w:t>
      </w:r>
      <w:r>
        <w:t xml:space="preserve">(Santoyo, Orozco-Mosqueda &amp; Govindappa, 2012; Alam et al., 2013a,b)</w:t>
      </w:r>
      <w:r>
        <w:t xml:space="preserve">. For example,</w:t>
      </w:r>
      <w:r>
        <w:t xml:space="preserve"> </w:t>
      </w:r>
      <w:r>
        <w:t xml:space="preserve">Alam et al. (2013a)</w:t>
      </w:r>
      <w:r>
        <w:t xml:space="preserve"> </w:t>
      </w:r>
      <w:r>
        <w:t xml:space="preserve">demonstrated that the applicatio of</w:t>
      </w:r>
      <w:r>
        <w:t xml:space="preserve"> </w:t>
      </w:r>
      <w:r>
        <w:rPr>
          <w:i/>
        </w:rPr>
        <w:t xml:space="preserve">Ascophyllum</w:t>
      </w:r>
      <w:r>
        <w:t xml:space="preserve"> </w:t>
      </w:r>
      <w:r>
        <w:t xml:space="preserve">extracts increased root associated microbial activity while promoting plant growth and root yield in carrots. Similarly,</w:t>
      </w:r>
      <w:r>
        <w:t xml:space="preserve"> </w:t>
      </w:r>
      <w:r>
        <w:t xml:space="preserve">Alam et al. (2013b)</w:t>
      </w:r>
      <w:r>
        <w:t xml:space="preserve"> </w:t>
      </w:r>
      <w:r>
        <w:t xml:space="preserve">showed that seaweed extracts increased strawberry root and shoot growth, berry yield and rhizosphere microbial diversity. While promising, these studies come with two major caveats. First, corellation does not imply causation, and the molecular mechanisms behind the observed seaweed extract - bacterial diversity - plant productivity relationship was not identified precisely. Second, these studies required culturing bacteria</w:t>
      </w:r>
      <w:r>
        <w:t xml:space="preserve"> </w:t>
      </w:r>
      <w:r>
        <w:rPr>
          <w:i/>
        </w:rPr>
        <w:t xml:space="preserve">in vitro</w:t>
      </w:r>
      <w:r>
        <w:t xml:space="preserve">, a labour intensive approach targetting a small (and biased) fraction of the total communities. Given the vast diversity of microbial populations, studies on the functional activity of complex soil microbial communities remain challenging.</w:t>
      </w:r>
      <w:r>
        <w:br w:type="textWrapping"/>
      </w:r>
      <w:r>
        <w:t xml:space="preserve"> </w:t>
      </w:r>
      <w:r>
        <w:br w:type="textWrapping"/>
      </w:r>
      <w:r>
        <w:t xml:space="preserve">The recent development of culture-independent molecular techniques should therefore permit to circumvent the inherent bias of culture based approaches by targeting the ubiquitous component of life, its DNA. In turn, this should permit to identify a larger proportion of the bacterial diversity and lead to a better understanding of the soil microbial response to seaweed extract. DNA barcoding targeting the internal transcribed spacer (ITS) region of the nuclear ribosomal repeat and the bacterial V3-V4 region of the 16S ribosomal gene for fungi and bacteria, respectively, are now regarded as a prerequisite procedure to comprehensively understand the diversity and ecology of microbial organisms</w:t>
      </w:r>
      <w:r>
        <w:t xml:space="preserve"> </w:t>
      </w:r>
      <w:r>
        <w:t xml:space="preserve">(Toju et al., 2012; Klindworth et al., 2013)</w:t>
      </w:r>
      <w:r>
        <w:t xml:space="preserve">. Once this is performed, further studies for example using inoculum of microbial species linked to the presence of liquid seaweed extract may help to identify a causative link between extracts, microbes and productivity.</w:t>
      </w:r>
      <w:r>
        <w:br w:type="textWrapping"/>
      </w:r>
      <w:r>
        <w:t xml:space="preserve"> </w:t>
      </w:r>
      <w:r>
        <w:br w:type="textWrapping"/>
      </w:r>
      <w:r>
        <w:t xml:space="preserve">The aim of the current project was to quantify the impact of seaweed (</w:t>
      </w:r>
      <w:r>
        <w:rPr>
          <w:i/>
        </w:rPr>
        <w:t xml:space="preserve">Ascophyllum nodosum</w:t>
      </w:r>
      <w:r>
        <w:t xml:space="preserve">) extracts on plant growth. In addition, we tested how the bacterial and fungal communities responded to the addition of theses extracts. We hypothesized that the inclusion of liquid seaweed extracts would improve productivity and alter significantly the bacterial and fungal communities. We used a a commercially available extract (Stella Maris®) derived from fresh</w:t>
      </w:r>
      <w:r>
        <w:t xml:space="preserve"> </w:t>
      </w:r>
      <w:r>
        <w:rPr>
          <w:i/>
        </w:rPr>
        <w:t xml:space="preserve">Ascophyllum nodosum</w:t>
      </w:r>
      <w:r>
        <w:t xml:space="preserve"> </w:t>
      </w:r>
      <w:r>
        <w:t xml:space="preserve">algae harvested from the nutrient-laden waters of the North Atlantic off the Eastern Coast of Canada.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and by measuring soil and root bacterial anf fungal diversity using High Througput Illumina Miseq sequencing.</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from an agricultural field under organic regime at the IRDA research station in St-Bruno (Qc, Canada) on October 7</w:t>
      </w:r>
      <w:r>
        <w:rPr>
          <w:vertAlign w:val="superscript"/>
        </w:rPr>
        <w:t xml:space="preserve">th</w:t>
      </w:r>
      <w:r>
        <w:t xml:space="preserve"> </w:t>
      </w:r>
      <w:r>
        <w:t xml:space="preserve">2015 (loamy sand soil, 15 cm top layer collected). Soil characteristics (pH, conductivity, nutrients, see Table 1) were measured by AgriDirect (Longueuil, Qc, Canada).</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a direct comparison of the fungal and bacteria soil communities with respect to the fertilization and planting treatment.</w:t>
      </w:r>
      <w:r>
        <w:t xml:space="preserve"> </w:t>
      </w:r>
      <w:r>
        <w:t xml:space="preserve"> </w:t>
      </w:r>
      <w:r>
        <w:br w:type="textWrapping"/>
      </w:r>
      <w:r>
        <w:drawing>
          <wp:inline>
            <wp:extent cx="5334000" cy="1670726"/>
            <wp:effectExtent b="0" l="0" r="0" t="0"/>
            <wp:docPr descr="Figure 1" title=""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5334000" cy="1670726"/>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Half of the 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The other half were unfertilized.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Half of the pepper plants were treated using solely Stella Maris (3.5 ml per 1L, each tray received 250 ml, repeated every 2 weeks) for the duration of the experiment. The other half were untreated.</w:t>
      </w:r>
      <w:r>
        <w:t xml:space="preserve"> </w:t>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 to control the fungus.</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specifically,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w:t>
      </w:r>
      <w:r>
        <w:t xml:space="preserve"> </w:t>
      </w:r>
      <w:r>
        <w:t xml:space="preserve">Toju et al. (2012)</w:t>
      </w:r>
      <w:r>
        <w:t xml:space="preserve">.</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This primer pair has been used extensively in high-throughput sequencing studies in a range of environments and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3.5.1</w:t>
      </w:r>
      <w:r>
        <w:t xml:space="preserve"> </w:t>
      </w:r>
      <w:r>
        <w:t xml:space="preserve">Team &amp; others (2018)</w:t>
      </w:r>
      <w:r>
        <w:t xml:space="preserve"> </w:t>
      </w:r>
      <w:r>
        <w:t xml:space="preserve">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Instead, after sequences are quality trimmed and error-corrected,</w:t>
      </w:r>
      <w:r>
        <w:t xml:space="preserve"> </w:t>
      </w:r>
      <w:r>
        <w:rPr>
          <w:rStyle w:val="VerbatimChar"/>
        </w:rPr>
        <w:t xml:space="preserve">dada2</w:t>
      </w:r>
      <w:r>
        <w:t xml:space="preserve"> </w:t>
      </w:r>
      <w:r>
        <w:t xml:space="preserve">reveals the unique members of the sequenced community,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(removing primers and low quality nucleotides,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nucleotide compositions of the sequenced amplicons, unique taxa and specific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 (</w:t>
      </w:r>
      <w:r>
        <w:t xml:space="preserve">Anderson &amp; Legendre (1999)</w:t>
      </w:r>
      <w:r>
        <w:t xml:space="preserve">) given that the residuals of the LMM were not normally distributed (results were similarly significant).</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unique to a block or replicate, but not found in the majority of a treatment and keep only</w:t>
      </w:r>
      <w:r>
        <w:t xml:space="preserve"> </w:t>
      </w:r>
      <w:r>
        <w:rPr>
          <w:i/>
        </w:rPr>
        <w:t xml:space="preserve">abundant</w:t>
      </w:r>
      <w:r>
        <w:t xml:space="preserve"> </w:t>
      </w:r>
      <w:r>
        <w:t xml:space="preserve">ones.</w:t>
      </w:r>
      <w:r>
        <w:br w:type="textWrapping"/>
      </w:r>
      <w:r>
        <w:t xml:space="preserve"> </w:t>
      </w:r>
      <w:r>
        <w:br w:type="textWrapping"/>
      </w:r>
      <w:r>
        <w:t xml:space="preserve">We then conducted community-based analyses looking at the effect of the fertilization treatment on the abundant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canonical correspondence analyses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the grouping of samples, ASVs and their association with productivity variables (</w:t>
      </w:r>
      <w:r>
        <w:rPr>
          <w:i/>
        </w:rPr>
        <w:t xml:space="preserve">species</w:t>
      </w:r>
      <w:r>
        <w:t xml:space="preserve"> </w:t>
      </w:r>
      <w:r>
        <w:t xml:space="preserve">scaling based on ASV matrix). Data were analysed separately for fungal-root, fungal-soil, bacterial-root and bacterial-soil, but also according to species (tomato/pepper), given that analyses of</w:t>
      </w:r>
      <w:r>
        <w:t xml:space="preserve"> </w:t>
      </w:r>
      <m:oMath>
        <m:r>
          <m:t>a</m:t>
        </m:r>
      </m:oMath>
      <w:r>
        <w:t xml:space="preserve"> </w:t>
      </w:r>
      <w:r>
        <w:t xml:space="preserve">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candidates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Soil characteristics</w:t>
      </w:r>
      <w:r>
        <w:br w:type="textWrapping"/>
      </w:r>
      <w:r>
        <w:t xml:space="preserve">In Table 1, we present the characteristics of the soil which was collected at the IRDA research station in St-Bruno (Qc, Canada) and used in the current experimental design.</w:t>
      </w:r>
      <w:r>
        <w:br w:type="textWrapping"/>
      </w:r>
      <w:r>
        <w:t xml:space="preserve"> </w:t>
      </w:r>
    </w:p>
    <w:p>
      <w:pPr>
        <w:pStyle w:val="TableCaption"/>
      </w:pPr>
      <w:r>
        <w:t xml:space="preserve">Soil characteristics</w:t>
      </w:r>
    </w:p>
    <w:tbl>
      <w:tblPr>
        <w:tblStyle w:val="TableNormal"/>
        <w:tblW w:type="pct" w:w="0.0"/>
        <w:tblLook w:firstRow="1"/>
        <w:tblCaption w:val="Soil characteristics"/>
      </w:tblPr>
      <w:tblGrid/>
      <w:tr>
        <w:trPr>
          <w:cnfStyle w:firstRow="1"/>
        </w:trPr>
        <w:tc>
          <w:tcPr>
            <w:tcBorders>
              <w:bottom w:val="single"/>
            </w:tcBorders>
            <w:vAlign w:val="bottom"/>
          </w:tcPr>
          <w:p>
            <w:pPr>
              <w:pStyle w:val="Compact"/>
              <w:jc w:val="left"/>
            </w:pPr>
            <w:r>
              <w:t xml:space="preserve">Soil Characteristics</w:t>
            </w:r>
          </w:p>
        </w:tc>
        <w:tc>
          <w:tcPr>
            <w:tcBorders>
              <w:bottom w:val="single"/>
            </w:tcBorders>
            <w:vAlign w:val="bottom"/>
          </w:tcPr>
          <w:p>
            <w:pPr>
              <w:pStyle w:val="Compact"/>
              <w:jc w:val="right"/>
            </w:pPr>
            <w:r>
              <w:t xml:space="preserve">Average value</w:t>
            </w:r>
          </w:p>
        </w:tc>
      </w:tr>
      <w:tr>
        <w:tc>
          <w:p>
            <w:pPr>
              <w:pStyle w:val="Compact"/>
              <w:jc w:val="left"/>
            </w:pPr>
            <w:r>
              <w:t xml:space="preserve">pH</w:t>
            </w:r>
          </w:p>
        </w:tc>
        <w:tc>
          <w:p>
            <w:pPr>
              <w:pStyle w:val="Compact"/>
              <w:jc w:val="right"/>
            </w:pPr>
            <w:r>
              <w:t xml:space="preserve">6.01</w:t>
            </w:r>
          </w:p>
        </w:tc>
      </w:tr>
      <w:tr>
        <w:tc>
          <w:p>
            <w:pPr>
              <w:pStyle w:val="Compact"/>
              <w:jc w:val="left"/>
            </w:pPr>
            <w:r>
              <w:t xml:space="preserve">Conductivity (mmhos/cm)</w:t>
            </w:r>
          </w:p>
        </w:tc>
        <w:tc>
          <w:p>
            <w:pPr>
              <w:pStyle w:val="Compact"/>
              <w:jc w:val="right"/>
            </w:pPr>
            <w:r>
              <w:t xml:space="preserve">0.68</w:t>
            </w:r>
          </w:p>
        </w:tc>
      </w:tr>
      <w:tr>
        <w:tc>
          <w:p>
            <w:pPr>
              <w:pStyle w:val="Compact"/>
              <w:jc w:val="left"/>
            </w:pPr>
            <w:r>
              <w:t xml:space="preserve">Nitrate (ppm N)</w:t>
            </w:r>
          </w:p>
        </w:tc>
        <w:tc>
          <w:p>
            <w:pPr>
              <w:pStyle w:val="Compact"/>
              <w:jc w:val="right"/>
            </w:pPr>
            <w:r>
              <w:t xml:space="preserve">62.40</w:t>
            </w:r>
          </w:p>
        </w:tc>
      </w:tr>
      <w:tr>
        <w:tc>
          <w:p>
            <w:pPr>
              <w:pStyle w:val="Compact"/>
              <w:jc w:val="left"/>
            </w:pPr>
            <w:r>
              <w:t xml:space="preserve">Ammonium (ppm)</w:t>
            </w:r>
          </w:p>
        </w:tc>
        <w:tc>
          <w:p>
            <w:pPr>
              <w:pStyle w:val="Compact"/>
              <w:jc w:val="right"/>
            </w:pPr>
            <w:r>
              <w:t xml:space="preserve">0.09</w:t>
            </w:r>
          </w:p>
        </w:tc>
      </w:tr>
      <w:tr>
        <w:tc>
          <w:p>
            <w:pPr>
              <w:pStyle w:val="Compact"/>
              <w:jc w:val="left"/>
            </w:pPr>
            <w:r>
              <w:t xml:space="preserve">Phosphorus (ppm)</w:t>
            </w:r>
          </w:p>
        </w:tc>
        <w:tc>
          <w:p>
            <w:pPr>
              <w:pStyle w:val="Compact"/>
              <w:jc w:val="right"/>
            </w:pPr>
            <w:r>
              <w:t xml:space="preserve">0.41</w:t>
            </w:r>
          </w:p>
        </w:tc>
      </w:tr>
      <w:tr>
        <w:tc>
          <w:p>
            <w:pPr>
              <w:pStyle w:val="Compact"/>
              <w:jc w:val="left"/>
            </w:pPr>
            <w:r>
              <w:t xml:space="preserve">Potassium (ppm)</w:t>
            </w:r>
          </w:p>
        </w:tc>
        <w:tc>
          <w:p>
            <w:pPr>
              <w:pStyle w:val="Compact"/>
              <w:jc w:val="right"/>
            </w:pPr>
            <w:r>
              <w:t xml:space="preserve">29.30</w:t>
            </w:r>
          </w:p>
        </w:tc>
      </w:tr>
      <w:tr>
        <w:tc>
          <w:p>
            <w:pPr>
              <w:pStyle w:val="Compact"/>
              <w:jc w:val="left"/>
            </w:pPr>
            <w:r>
              <w:t xml:space="preserve">Calcium (ppm)</w:t>
            </w:r>
          </w:p>
        </w:tc>
        <w:tc>
          <w:p>
            <w:pPr>
              <w:pStyle w:val="Compact"/>
              <w:jc w:val="right"/>
            </w:pPr>
            <w:r>
              <w:t xml:space="preserve">64.40</w:t>
            </w:r>
          </w:p>
        </w:tc>
      </w:tr>
      <w:tr>
        <w:tc>
          <w:p>
            <w:pPr>
              <w:pStyle w:val="Compact"/>
              <w:jc w:val="left"/>
            </w:pPr>
            <w:r>
              <w:t xml:space="preserve">Magnesium (ppm)</w:t>
            </w:r>
          </w:p>
        </w:tc>
        <w:tc>
          <w:p>
            <w:pPr>
              <w:pStyle w:val="Compact"/>
              <w:jc w:val="right"/>
            </w:pPr>
            <w:r>
              <w:t xml:space="preserve">13.80</w:t>
            </w:r>
          </w:p>
        </w:tc>
      </w:tr>
      <w:tr>
        <w:tc>
          <w:p>
            <w:pPr>
              <w:pStyle w:val="Compact"/>
              <w:jc w:val="left"/>
            </w:pPr>
            <w:r>
              <w:t xml:space="preserve">Chloride (ppm)</w:t>
            </w:r>
          </w:p>
        </w:tc>
        <w:tc>
          <w:p>
            <w:pPr>
              <w:pStyle w:val="Compact"/>
              <w:jc w:val="right"/>
            </w:pPr>
            <w:r>
              <w:t xml:space="preserve">28.50</w:t>
            </w:r>
          </w:p>
        </w:tc>
      </w:tr>
      <w:tr>
        <w:tc>
          <w:p>
            <w:pPr>
              <w:pStyle w:val="Compact"/>
              <w:jc w:val="left"/>
            </w:pPr>
            <w:r>
              <w:t xml:space="preserve">Sulfate (ppm)</w:t>
            </w:r>
          </w:p>
        </w:tc>
        <w:tc>
          <w:p>
            <w:pPr>
              <w:pStyle w:val="Compact"/>
              <w:jc w:val="right"/>
            </w:pPr>
            <w:r>
              <w:t xml:space="preserve">19.30</w:t>
            </w:r>
          </w:p>
        </w:tc>
      </w:tr>
      <w:tr>
        <w:tc>
          <w:p>
            <w:pPr>
              <w:pStyle w:val="Compact"/>
              <w:jc w:val="left"/>
            </w:pPr>
            <w:r>
              <w:t xml:space="preserve">Sodium (ppm)</w:t>
            </w:r>
          </w:p>
        </w:tc>
        <w:tc>
          <w:p>
            <w:pPr>
              <w:pStyle w:val="Compact"/>
              <w:jc w:val="right"/>
            </w:pPr>
            <w:r>
              <w:t xml:space="preserve">17.80</w:t>
            </w:r>
          </w:p>
        </w:tc>
      </w:tr>
      <w:tr>
        <w:tc>
          <w:p>
            <w:pPr>
              <w:pStyle w:val="Compact"/>
              <w:jc w:val="left"/>
            </w:pPr>
            <w:r>
              <w:t xml:space="preserve">Zinc (ppm)</w:t>
            </w:r>
          </w:p>
        </w:tc>
        <w:tc>
          <w:p>
            <w:pPr>
              <w:pStyle w:val="Compact"/>
              <w:jc w:val="right"/>
            </w:pPr>
            <w:r>
              <w:t xml:space="preserve">0.12</w:t>
            </w:r>
          </w:p>
        </w:tc>
      </w:tr>
      <w:tr>
        <w:tc>
          <w:p>
            <w:pPr>
              <w:pStyle w:val="Compact"/>
              <w:jc w:val="left"/>
            </w:pPr>
            <w:r>
              <w:t xml:space="preserve">Manganese (ppm)</w:t>
            </w:r>
          </w:p>
        </w:tc>
        <w:tc>
          <w:p>
            <w:pPr>
              <w:pStyle w:val="Compact"/>
              <w:jc w:val="right"/>
            </w:pPr>
            <w:r>
              <w:t xml:space="preserve">0.06</w:t>
            </w:r>
          </w:p>
        </w:tc>
      </w:tr>
      <w:tr>
        <w:tc>
          <w:p>
            <w:pPr>
              <w:pStyle w:val="Compact"/>
              <w:jc w:val="left"/>
            </w:pPr>
            <w:r>
              <w:t xml:space="preserve">Cooper (ppm)</w:t>
            </w:r>
          </w:p>
        </w:tc>
        <w:tc>
          <w:p>
            <w:pPr>
              <w:pStyle w:val="Compact"/>
              <w:jc w:val="right"/>
            </w:pPr>
            <w:r>
              <w:t xml:space="preserve">0.81</w:t>
            </w:r>
          </w:p>
        </w:tc>
      </w:tr>
      <w:tr>
        <w:tc>
          <w:p>
            <w:pPr>
              <w:pStyle w:val="Compact"/>
              <w:jc w:val="left"/>
            </w:pPr>
            <w:r>
              <w:t xml:space="preserve">Iron (ppm)</w:t>
            </w:r>
          </w:p>
        </w:tc>
        <w:tc>
          <w:p>
            <w:pPr>
              <w:pStyle w:val="Compact"/>
              <w:jc w:val="right"/>
            </w:pPr>
            <w:r>
              <w:t xml:space="preserve">0.90</w:t>
            </w:r>
          </w:p>
        </w:tc>
      </w:tr>
      <w:tr>
        <w:tc>
          <w:p>
            <w:pPr>
              <w:pStyle w:val="Compact"/>
              <w:jc w:val="left"/>
            </w:pPr>
            <w:r>
              <w:t xml:space="preserve">Aluminium (ppm)</w:t>
            </w:r>
          </w:p>
        </w:tc>
        <w:tc>
          <w:p>
            <w:pPr>
              <w:pStyle w:val="Compact"/>
              <w:jc w:val="right"/>
            </w:pPr>
            <w:r>
              <w:t xml:space="preserve">1.66</w:t>
            </w:r>
          </w:p>
        </w:tc>
      </w:tr>
    </w:tbl>
    <w:p>
      <w:pPr>
        <w:pStyle w:val="BodyText"/>
      </w:pPr>
      <w:r>
        <w:t xml:space="preserve"> </w:t>
      </w:r>
    </w:p>
    <w:p>
      <w:pPr>
        <w:pStyle w:val="BodyText"/>
      </w:pPr>
      <w:r>
        <w:rPr>
          <w:i/>
        </w:rPr>
        <w:t xml:space="preserve">productivity</w:t>
      </w:r>
      <w:r>
        <w:br w:type="textWrapping"/>
      </w:r>
      <w:r>
        <w:t xml:space="preserve">We tested the effect of the fertilization treatment on six measures of overall plant growth and productivity (fruit number, average fruit weight, shoots fresh weight, shoots dry 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plants).</w:t>
      </w:r>
      <w:r>
        <w:t xml:space="preserve"> </w:t>
      </w:r>
      <w:r>
        <w:t xml:space="preserve"> </w:t>
      </w:r>
      <w:r>
        <w:br w:type="textWrapping"/>
      </w:r>
      <w:r>
        <w:drawing>
          <wp:inline>
            <wp:extent cx="4762500" cy="2929963"/>
            <wp:effectExtent b="0" l="0" r="0" t="0"/>
            <wp:docPr descr="Figure 2" title="" id="1" name="Picture"/>
            <a:graphic>
              <a:graphicData uri="http://schemas.openxmlformats.org/drawingml/2006/picture">
                <pic:pic>
                  <pic:nvPicPr>
                    <pic:cNvPr descr="../figures/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title="" id="1" name="Picture"/>
            <a:graphic>
              <a:graphicData uri="http://schemas.openxmlformats.org/drawingml/2006/picture">
                <pic:pic>
                  <pic:nvPicPr>
                    <pic:cNvPr descr="../figures/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47,664 paired-end reads were obtained per sample. After quality filters were applied, including removing chimeras, and paired-end reads were merged, an average of 19,690 sequences remained per sample. While 192 soil samples for fungi and bacteria, and 96 root samples for fungi and bacteria were sequenced, seven fungi-soil samples, 15 fungi-root samples and one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170 Amplicon Sequence Variants per sample (average of 176 fungal-soil ASV, 37 fungal-root ASVs, 269 bacterial-soil ASVs and 92 bacterial-root ASVs). Many of those were unique to one of a few samples (total number of 6,112 fungal-soil, 845 fungal-root, 9,352 bacterial-soil and 2,023 bacterial-roots ASVs). After quality filtering ASVs that were found in fewer than 10% of the samples, we retained 413, 106, 811 and 325 ASVs and which comprised 94%, 95%, 89% and 98%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fungi_soil</w:t>
            </w:r>
          </w:p>
        </w:tc>
        <w:tc>
          <w:tcPr>
            <w:tcBorders>
              <w:bottom w:val="single"/>
            </w:tcBorders>
            <w:vAlign w:val="bottom"/>
          </w:tcPr>
          <w:p>
            <w:pPr>
              <w:pStyle w:val="Compact"/>
              <w:jc w:val="right"/>
            </w:pPr>
            <w:r>
              <w:t xml:space="preserve">fungi_root</w:t>
            </w:r>
          </w:p>
        </w:tc>
        <w:tc>
          <w:tcPr>
            <w:tcBorders>
              <w:bottom w:val="single"/>
            </w:tcBorders>
            <w:vAlign w:val="bottom"/>
          </w:tcPr>
          <w:p>
            <w:pPr>
              <w:pStyle w:val="Compact"/>
              <w:jc w:val="right"/>
            </w:pPr>
            <w:r>
              <w:t xml:space="preserve">bacteria_soil</w:t>
            </w:r>
          </w:p>
        </w:tc>
        <w:tc>
          <w:tcPr>
            <w:tcBorders>
              <w:bottom w:val="single"/>
            </w:tcBorders>
            <w:vAlign w:val="bottom"/>
          </w:tcPr>
          <w:p>
            <w:pPr>
              <w:pStyle w:val="Compact"/>
              <w:jc w:val="right"/>
            </w:pPr>
            <w:r>
              <w:t xml:space="preserve">bacteria_root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50,847</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32,626</w:t>
            </w:r>
          </w:p>
        </w:tc>
        <w:tc>
          <w:p>
            <w:pPr>
              <w:pStyle w:val="Compact"/>
              <w:jc w:val="right"/>
            </w:pPr>
            <w:r>
              <w:t xml:space="preserve">12,714</w:t>
            </w:r>
          </w:p>
        </w:tc>
        <w:tc>
          <w:p>
            <w:pPr>
              <w:pStyle w:val="Compact"/>
              <w:jc w:val="right"/>
            </w:pPr>
            <w:r>
              <w:t xml:space="preserve">29,662</w:t>
            </w:r>
          </w:p>
        </w:tc>
        <w:tc>
          <w:p>
            <w:pPr>
              <w:pStyle w:val="Compact"/>
              <w:jc w:val="right"/>
            </w:pPr>
            <w:r>
              <w:t xml:space="preserve">37,642</w:t>
            </w:r>
          </w:p>
        </w:tc>
      </w:tr>
      <w:tr>
        <w:tc>
          <w:p>
            <w:pPr>
              <w:pStyle w:val="Compact"/>
              <w:jc w:val="left"/>
            </w:pPr>
            <w:r>
              <w:t xml:space="preserve">Nb_seq_mean_filt_merged</w:t>
            </w:r>
          </w:p>
        </w:tc>
        <w:tc>
          <w:p>
            <w:pPr>
              <w:pStyle w:val="Compact"/>
              <w:jc w:val="right"/>
            </w:pPr>
            <w:r>
              <w:t xml:space="preserve">29,300</w:t>
            </w:r>
          </w:p>
        </w:tc>
        <w:tc>
          <w:p>
            <w:pPr>
              <w:pStyle w:val="Compact"/>
              <w:jc w:val="right"/>
            </w:pPr>
            <w:r>
              <w:t xml:space="preserve">12,094</w:t>
            </w:r>
          </w:p>
        </w:tc>
        <w:tc>
          <w:p>
            <w:pPr>
              <w:pStyle w:val="Compact"/>
              <w:jc w:val="right"/>
            </w:pPr>
            <w:r>
              <w:t xml:space="preserve">14,060</w:t>
            </w:r>
          </w:p>
        </w:tc>
        <w:tc>
          <w:p>
            <w:pPr>
              <w:pStyle w:val="Compact"/>
              <w:jc w:val="right"/>
            </w:pPr>
            <w:r>
              <w:t xml:space="preserve">30,706</w:t>
            </w:r>
          </w:p>
        </w:tc>
      </w:tr>
      <w:tr>
        <w:tc>
          <w:p>
            <w:pPr>
              <w:pStyle w:val="Compact"/>
              <w:jc w:val="left"/>
            </w:pPr>
            <w:r>
              <w:t xml:space="preserve">Nb_seq_mean_filt_merg_non_chimeras</w:t>
            </w:r>
          </w:p>
        </w:tc>
        <w:tc>
          <w:p>
            <w:pPr>
              <w:pStyle w:val="Compact"/>
              <w:jc w:val="right"/>
            </w:pPr>
            <w:r>
              <w:t xml:space="preserve">25,476</w:t>
            </w:r>
          </w:p>
        </w:tc>
        <w:tc>
          <w:p>
            <w:pPr>
              <w:pStyle w:val="Compact"/>
              <w:jc w:val="right"/>
            </w:pPr>
            <w:r>
              <w:t xml:space="preserve">9,849</w:t>
            </w:r>
          </w:p>
        </w:tc>
        <w:tc>
          <w:p>
            <w:pPr>
              <w:pStyle w:val="Compact"/>
              <w:jc w:val="right"/>
            </w:pPr>
            <w:r>
              <w:t xml:space="preserve">13,521</w:t>
            </w:r>
          </w:p>
        </w:tc>
        <w:tc>
          <w:p>
            <w:pPr>
              <w:pStyle w:val="Compact"/>
              <w:jc w:val="right"/>
            </w:pPr>
            <w:r>
              <w:t xml:space="preserve">30,408</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81</w:t>
            </w:r>
          </w:p>
        </w:tc>
        <w:tc>
          <w:p>
            <w:pPr>
              <w:pStyle w:val="Compact"/>
              <w:jc w:val="right"/>
            </w:pPr>
            <w:r>
              <w:t xml:space="preserve">192</w:t>
            </w:r>
          </w:p>
        </w:tc>
        <w:tc>
          <w:p>
            <w:pPr>
              <w:pStyle w:val="Compact"/>
              <w:jc w:val="right"/>
            </w:pPr>
            <w:r>
              <w:t xml:space="preserve">95</w:t>
            </w:r>
          </w:p>
        </w:tc>
      </w:tr>
      <w:tr>
        <w:tc>
          <w:p>
            <w:pPr>
              <w:pStyle w:val="Compact"/>
              <w:jc w:val="left"/>
            </w:pPr>
            <w:r>
              <w:t xml:space="preserve">ASV_sum</w:t>
            </w:r>
          </w:p>
        </w:tc>
        <w:tc>
          <w:p>
            <w:pPr>
              <w:pStyle w:val="Compact"/>
              <w:jc w:val="right"/>
            </w:pPr>
            <w:r>
              <w:t xml:space="preserve">6,112</w:t>
            </w:r>
          </w:p>
        </w:tc>
        <w:tc>
          <w:p>
            <w:pPr>
              <w:pStyle w:val="Compact"/>
              <w:jc w:val="right"/>
            </w:pPr>
            <w:r>
              <w:t xml:space="preserve">845</w:t>
            </w:r>
          </w:p>
        </w:tc>
        <w:tc>
          <w:p>
            <w:pPr>
              <w:pStyle w:val="Compact"/>
              <w:jc w:val="right"/>
            </w:pPr>
            <w:r>
              <w:t xml:space="preserve">9,352</w:t>
            </w:r>
          </w:p>
        </w:tc>
        <w:tc>
          <w:p>
            <w:pPr>
              <w:pStyle w:val="Compact"/>
              <w:jc w:val="right"/>
            </w:pPr>
            <w:r>
              <w:t xml:space="preserve">2,023</w:t>
            </w:r>
          </w:p>
        </w:tc>
      </w:tr>
      <w:tr>
        <w:tc>
          <w:p>
            <w:pPr>
              <w:pStyle w:val="Compact"/>
              <w:jc w:val="left"/>
            </w:pPr>
            <w:r>
              <w:t xml:space="preserve">ASV_sum_trimmed</w:t>
            </w:r>
          </w:p>
        </w:tc>
        <w:tc>
          <w:p>
            <w:pPr>
              <w:pStyle w:val="Compact"/>
              <w:jc w:val="right"/>
            </w:pPr>
            <w:r>
              <w:t xml:space="preserve">413</w:t>
            </w:r>
          </w:p>
        </w:tc>
        <w:tc>
          <w:p>
            <w:pPr>
              <w:pStyle w:val="Compact"/>
              <w:jc w:val="right"/>
            </w:pPr>
            <w:r>
              <w:t xml:space="preserve">106</w:t>
            </w:r>
          </w:p>
        </w:tc>
        <w:tc>
          <w:p>
            <w:pPr>
              <w:pStyle w:val="Compact"/>
              <w:jc w:val="right"/>
            </w:pPr>
            <w:r>
              <w:t xml:space="preserve">811</w:t>
            </w:r>
          </w:p>
        </w:tc>
        <w:tc>
          <w:p>
            <w:pPr>
              <w:pStyle w:val="Compact"/>
              <w:jc w:val="right"/>
            </w:pPr>
            <w:r>
              <w:t xml:space="preserve">325</w:t>
            </w:r>
          </w:p>
        </w:tc>
      </w:tr>
      <w:tr>
        <w:tc>
          <w:p>
            <w:pPr>
              <w:pStyle w:val="Compact"/>
              <w:jc w:val="left"/>
            </w:pPr>
            <w:r>
              <w:t xml:space="preserve">ASV_persample</w:t>
            </w:r>
          </w:p>
        </w:tc>
        <w:tc>
          <w:p>
            <w:pPr>
              <w:pStyle w:val="Compact"/>
              <w:jc w:val="right"/>
            </w:pPr>
            <w:r>
              <w:t xml:space="preserve">176</w:t>
            </w:r>
          </w:p>
        </w:tc>
        <w:tc>
          <w:p>
            <w:pPr>
              <w:pStyle w:val="Compact"/>
              <w:jc w:val="right"/>
            </w:pPr>
            <w:r>
              <w:t xml:space="preserve">37</w:t>
            </w:r>
          </w:p>
        </w:tc>
        <w:tc>
          <w:p>
            <w:pPr>
              <w:pStyle w:val="Compact"/>
              <w:jc w:val="right"/>
            </w:pPr>
            <w:r>
              <w:t xml:space="preserve">269</w:t>
            </w:r>
          </w:p>
        </w:tc>
        <w:tc>
          <w:p>
            <w:pPr>
              <w:pStyle w:val="Compact"/>
              <w:jc w:val="right"/>
            </w:pPr>
            <w:r>
              <w:t xml:space="preserve">92</w:t>
            </w:r>
          </w:p>
        </w:tc>
      </w:tr>
    </w:tbl>
    <w:p>
      <w:pPr>
        <w:pStyle w:val="BodyText"/>
      </w:pPr>
      <w:r>
        <w:t xml:space="preserve"> </w:t>
      </w:r>
      <w:r>
        <w:br w:type="textWrapping"/>
      </w:r>
      <w:r>
        <w:t xml:space="preserve"> </w:t>
      </w:r>
      <w:r>
        <w:br w:type="textWrapping"/>
      </w:r>
      <w:r>
        <w:rPr>
          <w:i/>
        </w:rPr>
        <w:t xml:space="preserve">Root,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by Nectriaceae, both in the root and soil samples. The bacterial family Bacilaceae dominated to a lesser extent the soil communities. Bacterial root communities were largely dominated by the Cyanobacteria phylum (identified as</w:t>
      </w:r>
      <w:r>
        <w:t xml:space="preserve"> </w:t>
      </w:r>
      <w:r>
        <w:rPr>
          <w:i/>
        </w:rPr>
        <w:t xml:space="preserve">chloroplast</w:t>
      </w:r>
      <w:r>
        <w:t xml:space="preserve"> </w:t>
      </w:r>
      <w:r>
        <w:t xml:space="preserve">according to the Ribosomal Database Project Naive Bayesian Classifier and the silva database). In fact, these ASVs are likely sequenced chloroplasts from the plants themselves, despite the fact that the primer pair used should have primarly targeted the bacterial V3-V4 region of the 16S ribosomal gene.</w:t>
      </w:r>
      <w:r>
        <w:br w:type="textWrapping"/>
      </w:r>
      <w:r>
        <w:t xml:space="preserve"> </w:t>
      </w:r>
      <w:r>
        <w:br w:type="textWrapping"/>
      </w:r>
      <w:r>
        <w:drawing>
          <wp:inline>
            <wp:extent cx="5334000" cy="3556000"/>
            <wp:effectExtent b="0" l="0" r="0" t="0"/>
            <wp:docPr descr="Figure 4a" title="" id="1" name="Picture"/>
            <a:graphic>
              <a:graphicData uri="http://schemas.openxmlformats.org/drawingml/2006/picture">
                <pic:pic>
                  <pic:nvPicPr>
                    <pic:cNvPr descr="../figures/Figure4_FAMILY_barplots_fungi.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4a: Barplots fo the relative abundance of fungal ASVs for fungi</w:t>
      </w:r>
      <w:r>
        <w:br w:type="textWrapping"/>
      </w:r>
      <w:r>
        <w:t xml:space="preserve"> </w:t>
      </w:r>
      <w:r>
        <w:t xml:space="preserve"> </w:t>
      </w:r>
      <w:r>
        <w:t xml:space="preserve"> </w:t>
      </w:r>
      <w:r>
        <w:br w:type="textWrapping"/>
      </w:r>
      <w:r>
        <w:drawing>
          <wp:inline>
            <wp:extent cx="5334000" cy="3556000"/>
            <wp:effectExtent b="0" l="0" r="0" t="0"/>
            <wp:docPr descr="Figure 4b" title="" id="1" name="Picture"/>
            <a:graphic>
              <a:graphicData uri="http://schemas.openxmlformats.org/drawingml/2006/picture">
                <pic:pic>
                  <pic:nvPicPr>
                    <pic:cNvPr descr="../figures/Figure4_FAMILY_barplots_bacteri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4b: Barplots fo the relative abundance of bacterial ASVs for bacteria</w:t>
      </w:r>
      <w:r>
        <w:br w:type="textWrapping"/>
      </w:r>
      <w:r>
        <w:t xml:space="preserve"> </w:t>
      </w:r>
      <w:r>
        <w:t xml:space="preserve"> </w:t>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were used to assess significance. In soil samples, fungal diversity did not differ with respect to the fertilization (</w:t>
      </w:r>
      <m:oMath>
        <m:sSub>
          <m:e>
            <m:r>
              <m:t>F</m:t>
            </m:r>
          </m:e>
          <m:sub>
            <m:r>
              <m:t>(</m:t>
            </m:r>
            <m:r>
              <m:t>1</m:t>
            </m:r>
            <m:r>
              <m:t>,</m:t>
            </m:r>
            <m:r>
              <m:t>161</m:t>
            </m:r>
            <m:r>
              <m:t>)</m:t>
            </m:r>
          </m:sub>
        </m:sSub>
      </m:oMath>
      <w:r>
        <w:t xml:space="preserve">=0.17,</w:t>
      </w:r>
      <w:r>
        <w:t xml:space="preserve"> </w:t>
      </w:r>
      <w:r>
        <w:rPr>
          <w:i/>
        </w:rPr>
        <w:t xml:space="preserve">p</w:t>
      </w:r>
      <w:r>
        <w:t xml:space="preserve">-value=0.6853), but did so with respect to planting (</w:t>
      </w:r>
      <m:oMath>
        <m:sSub>
          <m:e>
            <m:r>
              <m:t>F</m:t>
            </m:r>
          </m:e>
          <m:sub>
            <m:r>
              <m:t>(</m:t>
            </m:r>
            <m:r>
              <m:t>1</m:t>
            </m:r>
            <m:r>
              <m:t>,</m:t>
            </m:r>
            <m:r>
              <m:t>161</m:t>
            </m:r>
            <m:r>
              <m:t>)</m:t>
            </m:r>
          </m:sub>
        </m:sSub>
      </m:oMath>
      <w:r>
        <w:t xml:space="preserve">=9.00,</w:t>
      </w:r>
      <w:r>
        <w:t xml:space="preserve"> </w:t>
      </w:r>
      <w:r>
        <w:rPr>
          <w:i/>
        </w:rPr>
        <w:t xml:space="preserve">p</w:t>
      </w:r>
      <w:r>
        <w:t xml:space="preserve">-value&lt;0.0032) treatment and species (</w:t>
      </w:r>
      <m:oMath>
        <m:sSub>
          <m:e>
            <m:r>
              <m:t>F</m:t>
            </m:r>
          </m:e>
          <m:sub>
            <m:r>
              <m:t>(</m:t>
            </m:r>
            <m:r>
              <m:t>1</m:t>
            </m:r>
            <m:r>
              <m:t>,</m:t>
            </m:r>
            <m:r>
              <m:t>161</m:t>
            </m:r>
            <m:r>
              <m:t>)</m:t>
            </m:r>
          </m:sub>
        </m:sSub>
      </m:oMath>
      <w:r>
        <w:t xml:space="preserve">=13.03,</w:t>
      </w:r>
      <w:r>
        <w:t xml:space="preserve"> </w:t>
      </w:r>
      <w:r>
        <w:rPr>
          <w:i/>
        </w:rPr>
        <w:t xml:space="preserve">p</w:t>
      </w:r>
      <w:r>
        <w:t xml:space="preserve">-value=0.0003). In root samples, fungal diversity differed with respect to the fertilization treatment (</w:t>
      </w:r>
      <m:oMath>
        <m:sSub>
          <m:e>
            <m:r>
              <m:t>F</m:t>
            </m:r>
          </m:e>
          <m:sub>
            <m:r>
              <m:t>(</m:t>
            </m:r>
            <m:r>
              <m:t>1</m:t>
            </m:r>
            <m:r>
              <m:t>,</m:t>
            </m:r>
            <m:r>
              <m:t>56</m:t>
            </m:r>
            <m:r>
              <m:t>)</m:t>
            </m:r>
          </m:sub>
        </m:sSub>
      </m:oMath>
      <w:r>
        <w:t xml:space="preserve">=10.1,</w:t>
      </w:r>
      <w:r>
        <w:t xml:space="preserve"> </w:t>
      </w:r>
      <w:r>
        <w:rPr>
          <w:i/>
        </w:rPr>
        <w:t xml:space="preserve">p</w:t>
      </w:r>
      <w:r>
        <w:t xml:space="preserve">-value=0.003), and the species tested (</w:t>
      </w:r>
      <m:oMath>
        <m:sSub>
          <m:e>
            <m:r>
              <m:t>F</m:t>
            </m:r>
          </m:e>
          <m:sub>
            <m:r>
              <m:t>(</m:t>
            </m:r>
            <m:r>
              <m:t>1</m:t>
            </m:r>
            <m:r>
              <m:t>,</m:t>
            </m:r>
            <m:r>
              <m:t>56</m:t>
            </m:r>
            <m:r>
              <m:t>)</m:t>
            </m:r>
          </m:sub>
        </m:sSub>
      </m:oMath>
      <w:r>
        <w:t xml:space="preserve">=4.5,</w:t>
      </w:r>
      <w:r>
        <w:t xml:space="preserve"> </w:t>
      </w:r>
      <w:r>
        <w:rPr>
          <w:i/>
        </w:rPr>
        <w:t xml:space="preserve">p</w:t>
      </w:r>
      <w:r>
        <w:t xml:space="preserve">-value=0.04). In soil samples, bacterial diversity differed with respect to the fertilization treatment (</w:t>
      </w:r>
      <m:oMath>
        <m:sSub>
          <m:e>
            <m:r>
              <m:t>F</m:t>
            </m:r>
          </m:e>
          <m:sub>
            <m:r>
              <m:t>(</m:t>
            </m:r>
            <m:r>
              <m:t>1</m:t>
            </m:r>
            <m:r>
              <m:t>,</m:t>
            </m:r>
            <m:r>
              <m:t>165</m:t>
            </m:r>
            <m:r>
              <m:t>)</m:t>
            </m:r>
          </m:sub>
        </m:sSub>
      </m:oMath>
      <w:r>
        <w:t xml:space="preserve">=17.13,</w:t>
      </w:r>
      <w:r>
        <w:t xml:space="preserve"> </w:t>
      </w:r>
      <w:r>
        <w:rPr>
          <w:i/>
        </w:rPr>
        <w:t xml:space="preserve">p</w:t>
      </w:r>
      <w:r>
        <w:t xml:space="preserve">-value&lt;0.0001), planting (</w:t>
      </w:r>
      <m:oMath>
        <m:sSub>
          <m:e>
            <m:r>
              <m:t>F</m:t>
            </m:r>
          </m:e>
          <m:sub>
            <m:r>
              <m:t>(</m:t>
            </m:r>
            <m:r>
              <m:t>1</m:t>
            </m:r>
            <m:r>
              <m:t>,</m:t>
            </m:r>
            <m:r>
              <m:t>165</m:t>
            </m:r>
            <m:r>
              <m:t>)</m:t>
            </m:r>
          </m:sub>
        </m:sSub>
      </m:oMath>
      <w:r>
        <w:t xml:space="preserve">=139.0,</w:t>
      </w:r>
      <w:r>
        <w:t xml:space="preserve"> </w:t>
      </w:r>
      <w:r>
        <w:rPr>
          <w:i/>
        </w:rPr>
        <w:t xml:space="preserve">p</w:t>
      </w:r>
      <w:r>
        <w:t xml:space="preserve">-value&lt;0.0001) but not species (</w:t>
      </w:r>
      <m:oMath>
        <m:sSub>
          <m:e>
            <m:r>
              <m:t>F</m:t>
            </m:r>
          </m:e>
          <m:sub>
            <m:r>
              <m:t>(</m:t>
            </m:r>
            <m:r>
              <m:t>1</m:t>
            </m:r>
            <m:r>
              <m:t>,</m:t>
            </m:r>
            <m:r>
              <m:t>165</m:t>
            </m:r>
            <m:r>
              <m:t>)</m:t>
            </m:r>
          </m:sub>
        </m:sSub>
      </m:oMath>
      <w:r>
        <w:t xml:space="preserve">=1.89,</w:t>
      </w:r>
      <w:r>
        <w:t xml:space="preserve"> </w:t>
      </w:r>
      <w:r>
        <w:rPr>
          <w:i/>
        </w:rPr>
        <w:t xml:space="preserve">p</w:t>
      </w:r>
      <w:r>
        <w:t xml:space="preserve">-value=0.17). In root samples, bacterial diversity differed with respect to the fertilization treatment (</w:t>
      </w:r>
      <m:oMath>
        <m:sSub>
          <m:e>
            <m:r>
              <m:t>F</m:t>
            </m:r>
          </m:e>
          <m:sub>
            <m:r>
              <m:t>(</m:t>
            </m:r>
            <m:r>
              <m:t>1</m:t>
            </m:r>
            <m:r>
              <m:t>,</m:t>
            </m:r>
            <m:r>
              <m:t>67</m:t>
            </m:r>
            <m:r>
              <m:t>)</m:t>
            </m:r>
          </m:sub>
        </m:sSub>
      </m:oMath>
      <w:r>
        <w:t xml:space="preserve">=17.27,</w:t>
      </w:r>
      <w:r>
        <w:t xml:space="preserve"> </w:t>
      </w:r>
      <w:r>
        <w:rPr>
          <w:i/>
        </w:rPr>
        <w:t xml:space="preserve">p</w:t>
      </w:r>
      <w:r>
        <w:t xml:space="preserve">-value=0.0001), and the species tested (</w:t>
      </w:r>
      <m:oMath>
        <m:sSub>
          <m:e>
            <m:r>
              <m:t>F</m:t>
            </m:r>
          </m:e>
          <m:sub>
            <m:r>
              <m:t>(</m:t>
            </m:r>
            <m:r>
              <m:t>1</m:t>
            </m:r>
            <m:r>
              <m:t>,</m:t>
            </m:r>
            <m:r>
              <m:t>67</m:t>
            </m:r>
            <m:r>
              <m:t>)</m:t>
            </m:r>
          </m:sub>
        </m:sSub>
      </m:oMath>
      <w:r>
        <w:t xml:space="preserve">=359.69,</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title="" id="1" name="Picture"/>
            <a:graphic>
              <a:graphicData uri="http://schemas.openxmlformats.org/drawingml/2006/picture">
                <pic:pic>
                  <pic:nvPicPr>
                    <pic:cNvPr descr="../figures/Figure5_alpha.pdf"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Boxplot of alpha diversity according to the treatment, species and planting effect for fungal-root, fungal-soil, bacteria-soil and bacteria-root.</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Table 3)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(2e-04)</w:t>
            </w:r>
          </w:p>
        </w:tc>
        <w:tc>
          <w:p>
            <w:pPr>
              <w:pStyle w:val="Compact"/>
              <w:jc w:val="left"/>
            </w:pPr>
            <w:r>
              <w:t xml:space="preserve">0.08 (1e-04)</w:t>
            </w:r>
          </w:p>
        </w:tc>
        <w:tc>
          <w:p>
            <w:pPr>
              <w:pStyle w:val="Compact"/>
              <w:jc w:val="left"/>
            </w:pPr>
            <w:r>
              <w:t xml:space="preserve">0.04 (1e-04)</w:t>
            </w:r>
          </w:p>
        </w:tc>
        <w:tc>
          <w:p>
            <w:pPr>
              <w:pStyle w:val="Compact"/>
              <w:jc w:val="left"/>
            </w:pPr>
            <w:r>
              <w:t xml:space="preserve">0.07 (1e-04)</w:t>
            </w:r>
          </w:p>
        </w:tc>
      </w:tr>
      <w:tr>
        <w:tc>
          <w:p>
            <w:pPr>
              <w:pStyle w:val="Compact"/>
              <w:jc w:val="left"/>
            </w:pPr>
            <w:r>
              <w:t xml:space="preserve">planted</w:t>
            </w:r>
          </w:p>
        </w:tc>
        <w:tc>
          <w:p>
            <w:pPr>
              <w:pStyle w:val="Compact"/>
              <w:jc w:val="left"/>
            </w:pPr>
            <w:r>
              <w:t xml:space="preserve">0.21 (1e-04)</w:t>
            </w:r>
          </w:p>
        </w:tc>
        <w:tc>
          <w:p>
            <w:pPr>
              <w:pStyle w:val="Compact"/>
              <w:jc w:val="left"/>
            </w:pPr>
            <w:r>
              <w:t xml:space="preserve">NA</w:t>
            </w:r>
          </w:p>
        </w:tc>
        <w:tc>
          <w:p>
            <w:pPr>
              <w:pStyle w:val="Compact"/>
              <w:jc w:val="left"/>
            </w:pPr>
            <w:r>
              <w:t xml:space="preserve">0.13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(1e-04)</w:t>
            </w:r>
          </w:p>
        </w:tc>
        <w:tc>
          <w:p>
            <w:pPr>
              <w:pStyle w:val="Compact"/>
              <w:jc w:val="left"/>
            </w:pPr>
            <w:r>
              <w:t xml:space="preserve">0.26 (1e-04)</w:t>
            </w:r>
          </w:p>
        </w:tc>
        <w:tc>
          <w:p>
            <w:pPr>
              <w:pStyle w:val="Compact"/>
              <w:jc w:val="left"/>
            </w:pPr>
            <w:r>
              <w:t xml:space="preserve">0.02 (3e-04)</w:t>
            </w:r>
          </w:p>
        </w:tc>
        <w:tc>
          <w:p>
            <w:pPr>
              <w:pStyle w:val="Compact"/>
              <w:jc w:val="left"/>
            </w:pPr>
            <w:r>
              <w:t xml:space="preserve">0.52 (1e-04)</w:t>
            </w:r>
          </w:p>
        </w:tc>
      </w:tr>
      <w:tr>
        <w:tc>
          <w:p>
            <w:pPr>
              <w:pStyle w:val="Compact"/>
              <w:jc w:val="left"/>
            </w:pPr>
            <w:r>
              <w:t xml:space="preserve">fertilization:planted</w:t>
            </w:r>
          </w:p>
        </w:tc>
        <w:tc>
          <w:p>
            <w:pPr>
              <w:pStyle w:val="Compact"/>
              <w:jc w:val="left"/>
            </w:pPr>
            <w:r>
              <w:t xml:space="preserve">0.01 (0.003)</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(0.006)</w:t>
            </w:r>
          </w:p>
        </w:tc>
        <w:tc>
          <w:p>
            <w:pPr>
              <w:pStyle w:val="Compact"/>
              <w:jc w:val="left"/>
            </w:pPr>
            <w:r>
              <w:t xml:space="preserve">0.04 (0.002)</w:t>
            </w:r>
          </w:p>
        </w:tc>
        <w:tc>
          <w:p>
            <w:pPr>
              <w:pStyle w:val="Compact"/>
              <w:jc w:val="left"/>
            </w:pPr>
            <w:r>
              <w:t xml:space="preserve">0.03 (1e-04)</w:t>
            </w:r>
          </w:p>
        </w:tc>
        <w:tc>
          <w:p>
            <w:pPr>
              <w:pStyle w:val="Compact"/>
              <w:jc w:val="left"/>
            </w:pPr>
            <w:r>
              <w:t xml:space="preserve">0.05 (2e-04)</w:t>
            </w:r>
          </w:p>
        </w:tc>
      </w:tr>
      <w:tr>
        <w:tc>
          <w:p>
            <w:pPr>
              <w:pStyle w:val="Compact"/>
              <w:jc w:val="left"/>
            </w:pPr>
            <w:r>
              <w:t xml:space="preserve">planted:species</w:t>
            </w:r>
          </w:p>
        </w:tc>
        <w:tc>
          <w:p>
            <w:pPr>
              <w:pStyle w:val="Compact"/>
              <w:jc w:val="left"/>
            </w:pPr>
            <w:r>
              <w:t xml:space="preserve">0.01 (0.09)</w:t>
            </w:r>
          </w:p>
        </w:tc>
        <w:tc>
          <w:p>
            <w:pPr>
              <w:pStyle w:val="Compact"/>
              <w:jc w:val="left"/>
            </w:pPr>
            <w:r>
              <w:t xml:space="preserve">NA</w:t>
            </w:r>
          </w:p>
        </w:tc>
        <w:tc>
          <w:p>
            <w:pPr>
              <w:pStyle w:val="Compact"/>
              <w:jc w:val="left"/>
            </w:pPr>
            <w:r>
              <w:t xml:space="preserve">0.01 (0.004)</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0.01 (0.16)</w:t>
            </w:r>
          </w:p>
        </w:tc>
        <w:tc>
          <w:p>
            <w:pPr>
              <w:pStyle w:val="Compact"/>
              <w:jc w:val="left"/>
            </w:pPr>
            <w:r>
              <w:t xml:space="preserve">NA</w:t>
            </w:r>
          </w:p>
        </w:tc>
        <w:tc>
          <w:p>
            <w:pPr>
              <w:pStyle w:val="Compact"/>
              <w:jc w:val="left"/>
            </w:pPr>
            <w:r>
              <w:t xml:space="preserve">0.01 (0.04)</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Canonical correspondence analyses and candidate ASVs</w:t>
      </w:r>
      <w:r>
        <w:br w:type="textWrapping"/>
      </w:r>
      <w:r>
        <w:t xml:space="preserve">Canonical correspondence analyses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ype="textWrapping"/>
      </w:r>
      <w:r>
        <w:t xml:space="preserve"> </w:t>
      </w:r>
      <w:r>
        <w:br w:type="textWrapping"/>
      </w:r>
      <w:r>
        <w:t xml:space="preserve"> </w:t>
      </w:r>
      <w:r>
        <w:drawing>
          <wp:inline>
            <wp:extent cx="3810000" cy="2540000"/>
            <wp:effectExtent b="0" l="0" r="0" t="0"/>
            <wp:docPr descr="Figure 6" title="" id="1" name="Picture"/>
            <a:graphic>
              <a:graphicData uri="http://schemas.openxmlformats.org/drawingml/2006/picture">
                <pic:pic>
                  <pic:nvPicPr>
                    <pic:cNvPr descr="../figures/Figure6_rda.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Canonical correspondence analyses for tomato (A-D) and peppers (E-H) for soil-fungi, root-fungi, soil-bacteria and root-bacteria. Samples were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t xml:space="preserve"> </w:t>
      </w:r>
      <w:r>
        <w:t xml:space="preserve"> </w:t>
      </w:r>
      <w:r>
        <w:br w:type="textWrapping"/>
      </w:r>
      <w:r>
        <w:t xml:space="preserve"> </w:t>
      </w:r>
    </w:p>
    <w:p>
      <w:pPr>
        <w:pStyle w:val="BodyText"/>
      </w:pPr>
      <w:r>
        <w:t xml:space="preserve">Next, we identified, for each ordination, the ten ASVs most closely related to the three constrains which behaved in a similar fashion (productivity measures of root fresh weight, shoots fresh weight and fruit number). These ASVs were considered as putative candidates sequences most positively impacted (increase presence of the ASV) by fertilization. We further analysed the corresponding sequences for these eigthy candidates (ten candidates * eight ordinations) ASVs in two seperate alignments (one for fungi and one for bacterial ASVs) and their accompanying phylogenetic trees. In fungi, we identified one cluster of ASVs taxonomically assigned to</w:t>
      </w:r>
      <w:r>
        <w:t xml:space="preserve"> </w:t>
      </w:r>
      <w:r>
        <w:rPr>
          <w:i/>
        </w:rPr>
        <w:t xml:space="preserve">Mortierella</w:t>
      </w:r>
      <w:r>
        <w:t xml:space="preserve"> </w:t>
      </w:r>
      <w:r>
        <w:t xml:space="preserve">(soil saprotrophs in the phylum Zygomycota) positively associated to productivity in both tomato and pepper roots. In addition, we identified a cluster of four different ASVs in tomato soil (ASV132, ASV153) and pepper-root (ASV19 &amp; AV17)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e-value=4e-76)</w:t>
      </w:r>
      <w:r>
        <w:t xml:space="preserve">, a protist in the phylum Cercozoa, which are known to be present in the soil and phyllosphere</w:t>
      </w:r>
      <w:r>
        <w:t xml:space="preserve"> </w:t>
      </w:r>
      <w:r>
        <w:t xml:space="preserve">Dumack et al. (2017)</w:t>
      </w:r>
      <w:r>
        <w:t xml:space="preserve">.</w:t>
      </w:r>
      <w:r>
        <w:br w:type="textWrapping"/>
      </w:r>
      <w:r>
        <w:t xml:space="preserve"> </w:t>
      </w:r>
      <w:r>
        <w:br w:type="textWrapping"/>
      </w:r>
      <w:r>
        <w:t xml:space="preserve">In bacteria-roots, we identified a number of different ASVs most positively impacted (increase presence of the ASV) by fertilization. For example, we identified…</w:t>
      </w:r>
      <w:r>
        <w:t xml:space="preserve"> </w:t>
      </w:r>
      <w:r>
        <w:t xml:space="preserve"> </w:t>
      </w:r>
      <w:r>
        <w:br w:type="textWrapping"/>
      </w:r>
      <w:r>
        <w:t xml:space="preserve"> </w:t>
      </w:r>
      <w:r>
        <w:br w:type="textWrapping"/>
      </w:r>
      <w:r>
        <w:drawing>
          <wp:inline>
            <wp:extent cx="3810000" cy="2540000"/>
            <wp:effectExtent b="0" l="0" r="0" t="0"/>
            <wp:docPr descr="Figure 7" title=""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Heading1"/>
      </w:pPr>
      <w:bookmarkStart w:id="34" w:name="discussion"/>
      <w:bookmarkEnd w:id="34"/>
      <w:r>
        <w:t xml:space="preserve">DISCUSSION</w:t>
      </w:r>
    </w:p>
    <w:p>
      <w:pPr>
        <w:pStyle w:val="FirstParagraph"/>
      </w:pPr>
      <w:r>
        <w:t xml:space="preserve">• Overall increases in productivity in both species (but mention that tomato were fertilized with hen manure as well).</w:t>
      </w:r>
      <w:r>
        <w:br w:type="textWrapping"/>
      </w:r>
      <w:r>
        <w:t xml:space="preserve">• A few words about the goal of the sequencing: very broad approach looking at lots of factors (fertilization, species, planting root, soil, fungal, bacterial).</w:t>
      </w:r>
      <w:r>
        <w:br w:type="textWrapping"/>
      </w:r>
      <w:r>
        <w:t xml:space="preserve">• A few words about the</w:t>
      </w:r>
      <w:r>
        <w:t xml:space="preserve"> </w:t>
      </w:r>
      <w:r>
        <w:rPr>
          <w:i/>
        </w:rPr>
        <w:t xml:space="preserve">dada2</w:t>
      </w:r>
      <w:r>
        <w:t xml:space="preserve"> </w:t>
      </w:r>
      <w:r>
        <w:t xml:space="preserve">approach and its advantages (it’s reproducible, open &amp; R based. It identifies unique (non-clustered) ASVs which can be compared among species) &amp; disadvantages (essentially, the main disadvantage is that it identifies non-clustered ASVs, which means that most ASVs are unique, and not found anywhere else, which makes it hard to compare: see</w:t>
      </w:r>
      <w:r>
        <w:t xml:space="preserve"> </w:t>
      </w:r>
      <w:r>
        <w:rPr>
          <w:i/>
        </w:rPr>
        <w:t xml:space="preserve">Sequencing</w:t>
      </w:r>
      <w:r>
        <w:t xml:space="preserve"> </w:t>
      </w:r>
      <w:r>
        <w:t xml:space="preserve">paragraph in results). Also mention that most ASVs are unique AND very rare, such that when we remove the rare ones (found in &lt;10% of the samples), we discard ~90% of ASV, but keep &gt;95% of reads. So this is still a very valuable approach.</w:t>
      </w:r>
      <w:r>
        <w:t xml:space="preserve"> </w:t>
      </w:r>
      <w:r>
        <w:t xml:space="preserve">• Also, talk about advantages / disadvantages of the RDP bayesian classifier approach to taxonomy rather than a BLAST approach (a BLAST approach will always give you a result even if this result is false, an RDP will only give you a taxonomy (from Kindgom to species) if there is enough power/confidence in it). Also any taxonomy classification largely depends on the database you have.</w:t>
      </w:r>
      <w:r>
        <w:br w:type="textWrapping"/>
      </w:r>
      <w:r>
        <w:t xml:space="preserve">• Talk about effect of treatment on root + soil on overall (alpha) diversity.</w:t>
      </w:r>
      <w:r>
        <w:t xml:space="preserve"> </w:t>
      </w:r>
      <w:r>
        <w:t xml:space="preserve">• Talk about effect of treatment on root + soil on differences in species composition among sites (beta diversity)</w:t>
      </w:r>
      <w:r>
        <w:t xml:space="preserve"> </w:t>
      </w:r>
      <w:r>
        <w:t xml:space="preserve">• Talk about the fact in the roots, we most likely sequenced the plant itself, rather than the bacteria.</w:t>
      </w:r>
      <w:r>
        <w:br w:type="textWrapping"/>
      </w:r>
      <w:r>
        <w:t xml:space="preserve">• Discuss some of the candidate ASVs identified based on the ordinations and Figure 7.</w:t>
      </w:r>
      <w:r>
        <w:br w:type="textWrapping"/>
      </w:r>
      <w:r>
        <w:t xml:space="preserve">• Follow-up work: ?</w:t>
      </w:r>
    </w:p>
    <w:p>
      <w:pPr>
        <w:pStyle w:val="Heading1"/>
      </w:pPr>
      <w:bookmarkStart w:id="35" w:name="acknowledgments"/>
      <w:bookmarkEnd w:id="35"/>
      <w:r>
        <w:t xml:space="preserve">ACKNOWLEDGMENTS</w:t>
      </w:r>
    </w:p>
    <w:p>
      <w:pPr>
        <w:pStyle w:val="FirstParagraph"/>
      </w:pPr>
      <w:r>
        <w:t xml:space="preserve">We thank Mengxuan Kong for technical work measuring productivity. Simon Morvan for discussion about analyses + seaweed extracts.</w:t>
      </w:r>
    </w:p>
    <w:p>
      <w:pPr>
        <w:pStyle w:val="Heading1"/>
      </w:pPr>
      <w:bookmarkStart w:id="36" w:name="references"/>
      <w:bookmarkEnd w:id="36"/>
      <w:r>
        <w:t xml:space="preserve">REFERENCES</w:t>
      </w:r>
    </w:p>
    <w:p>
      <w:pPr>
        <w:pStyle w:val="Bibliography"/>
      </w:pPr>
      <w:r>
        <w:t xml:space="preserve">Alam MZ., Braun G., Norrie J., Hodges DM. 2013a. Ascophyllum extract application can promote plant growth and root yield in carrot associated with increased root-zone soil microbial activity.</w:t>
      </w:r>
      <w:r>
        <w:t xml:space="preserve"> </w:t>
      </w:r>
      <w:r>
        <w:rPr>
          <w:i/>
        </w:rPr>
        <w:t xml:space="preserve">Canadian Journal of Plant Science</w:t>
      </w:r>
      <w:r>
        <w:t xml:space="preserve"> </w:t>
      </w:r>
      <w:r>
        <w:t xml:space="preserve">94:337–348.</w:t>
      </w:r>
    </w:p>
    <w:p>
      <w:pPr>
        <w:pStyle w:val="Bibliography"/>
      </w:pPr>
      <w:r>
        <w:t xml:space="preserve">Alam MZ., Braun G., Norrie J., Hodges DM. 2013b. Effect of ascophyllum extract application on plant growth, fruit yield and soil microbial communities of strawberry.</w:t>
      </w:r>
      <w:r>
        <w:t xml:space="preserve"> </w:t>
      </w:r>
      <w:r>
        <w:rPr>
          <w:i/>
        </w:rPr>
        <w:t xml:space="preserve">Canadian Journal of Plant Science</w:t>
      </w:r>
      <w:r>
        <w:t xml:space="preserve"> </w:t>
      </w:r>
      <w:r>
        <w:t xml:space="preserve">93:23–36.</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Arioli T., Mattner SW., Winberg PC. 2015. Applications of seaweed extracts in australian agriculture: Past, present and future.</w:t>
      </w:r>
      <w:r>
        <w:t xml:space="preserve"> </w:t>
      </w:r>
      <w:r>
        <w:rPr>
          <w:i/>
        </w:rPr>
        <w:t xml:space="preserve">Journal of applied phycology</w:t>
      </w:r>
      <w:r>
        <w:t xml:space="preserve"> </w:t>
      </w:r>
      <w:r>
        <w:t xml:space="preserve">27:2007–2015.</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7">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8">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Dhargalkar V., Pereira N. 2005. Seaweed: Promising plant of the millennium.</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Khan W., Rayirath UP., Subramanian S., Jithesh MN., Rayorath P., Hodges DM., Critchley AT., Craigie JS., Norrie J., Prithiviraj B. 2009. Seaweed extracts as biostimulants of plant growth and development.</w:t>
      </w:r>
      <w:r>
        <w:t xml:space="preserve"> </w:t>
      </w:r>
      <w:r>
        <w:rPr>
          <w:i/>
        </w:rPr>
        <w:t xml:space="preserve">Journal of Plant Growth Regulation</w:t>
      </w:r>
      <w:r>
        <w:t xml:space="preserve"> </w:t>
      </w:r>
      <w:r>
        <w:t xml:space="preserve">28:386–399.</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Milton R. 1952. Improvements in or relating to horticultural and agricultural fertilizers.</w:t>
      </w:r>
      <w:r>
        <w:t xml:space="preserve"> </w:t>
      </w:r>
      <w:r>
        <w:rPr>
          <w:i/>
        </w:rPr>
        <w:t xml:space="preserve">British Patent</w:t>
      </w:r>
      <w:r>
        <w:t xml:space="preserve"> </w:t>
      </w:r>
      <w:r>
        <w:t xml:space="preserve">664989.</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Santoyo G., Orozco-Mosqueda M del C., Govindappa M. 2012. Mechanisms of biocontrol and plant growth-promoting activity in soil bacterial species of bacillus and pseudomonas: A review.</w:t>
      </w:r>
      <w:r>
        <w:t xml:space="preserve"> </w:t>
      </w:r>
      <w:r>
        <w:rPr>
          <w:i/>
        </w:rPr>
        <w:t xml:space="preserve">Biocontrol Science and Technology</w:t>
      </w:r>
      <w:r>
        <w:t xml:space="preserve"> </w:t>
      </w:r>
      <w:r>
        <w:t xml:space="preserve">22:855–872.</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Stirk WA., Van Staden J. 2014. Plant growth regulators in seaweeds: Occurrence, regulation and functions.</w:t>
      </w:r>
      <w:r>
        <w:t xml:space="preserve"> </w:t>
      </w:r>
      <w:r>
        <w:rPr>
          <w:i/>
        </w:rPr>
        <w:t xml:space="preserve">Advances in Botanical Research</w:t>
      </w:r>
      <w:r>
        <w:t xml:space="preserve"> </w:t>
      </w:r>
      <w:r>
        <w:t xml:space="preserve">71:125–159.</w:t>
      </w:r>
    </w:p>
    <w:p>
      <w:pPr>
        <w:pStyle w:val="Bibliography"/>
      </w:pPr>
      <w:r>
        <w:t xml:space="preserve">Team RC., others. 2018. R: A language and environment for statistical computing.</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Wally OS., Critchley AT., Hiltz D., Craigie JS., Han X., Zaharia LI., Abrams SR., Prithiviraj B. 2013. Regulation of phytohormone biosynthesis and accumulation in arabidopsis following treatment with commercial extract from the marine macroalga ascophyllum nodosum.</w:t>
      </w:r>
      <w:r>
        <w:t xml:space="preserve"> </w:t>
      </w:r>
      <w:r>
        <w:rPr>
          <w:i/>
        </w:rPr>
        <w:t xml:space="preserve">Journal of plant growth regulation</w:t>
      </w:r>
      <w:r>
        <w:t xml:space="preserve"> </w:t>
      </w:r>
      <w:r>
        <w:t xml:space="preserve">32:324–339.</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c38219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30" Target="media/rId30.pdf" /><Relationship Type="http://schemas.openxmlformats.org/officeDocument/2006/relationships/image" Id="rId29" Target="media/rId29.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33" Target="media/rId33.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7" Target="https://doi.org/10.5281/zenodo.1172783" TargetMode="External" /><Relationship Type="http://schemas.openxmlformats.org/officeDocument/2006/relationships/hyperlink" Id="rId38"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7" Target="https://doi.org/10.5281/zenodo.1172783" TargetMode="External" /><Relationship Type="http://schemas.openxmlformats.org/officeDocument/2006/relationships/hyperlink" Id="rId38"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2018-11-16T21:01:04Z</dcterms:created>
  <dcterms:modified xsi:type="dcterms:W3CDTF">2018-11-16T21:01:04Z</dcterms:modified>
</cp:coreProperties>
</file>